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line="240" w:lineRule="auto"/>
        <w:jc w:val="center"/>
        <w:rPr>
          <w:vertAlign w:val="baseline"/>
        </w:rPr>
      </w:pPr>
      <w:bookmarkStart w:colFirst="0" w:colLast="0" w:name="_heading=h.sbdkc66fkxmx" w:id="0"/>
      <w:bookmarkEnd w:id="0"/>
      <w:r w:rsidDel="00000000" w:rsidR="00000000" w:rsidRPr="00000000">
        <w:rPr>
          <w:vertAlign w:val="baseline"/>
          <w:rtl w:val="0"/>
        </w:rPr>
        <w:t xml:space="preserve">НАРЕДБА</w:t>
      </w:r>
    </w:p>
    <w:p w:rsidR="00000000" w:rsidDel="00000000" w:rsidP="00000000" w:rsidRDefault="00000000" w:rsidRPr="00000000" w14:paraId="00000003">
      <w:pPr>
        <w:pStyle w:val="Heading2"/>
        <w:spacing w:after="0" w:line="240" w:lineRule="auto"/>
        <w:jc w:val="center"/>
        <w:rPr/>
      </w:pPr>
      <w:bookmarkStart w:colFirst="0" w:colLast="0" w:name="_heading=h.sbdkc66fkxmx" w:id="0"/>
      <w:bookmarkEnd w:id="0"/>
      <w:r w:rsidDel="00000000" w:rsidR="00000000" w:rsidRPr="00000000">
        <w:rPr>
          <w:vertAlign w:val="baseline"/>
          <w:rtl w:val="0"/>
        </w:rPr>
        <w:t xml:space="preserve">За членство на клубове в Сдружение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България Тъч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ОБЩИ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ПОЛОЖЕНИЯ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Чл. 1.</w:t>
      </w:r>
      <w:r w:rsidDel="00000000" w:rsidR="00000000" w:rsidRPr="00000000">
        <w:rPr>
          <w:vertAlign w:val="baseline"/>
          <w:rtl w:val="0"/>
        </w:rPr>
        <w:t xml:space="preserve"> Настоящата Наредба урежда реда, условията и начина, по който се приемат клубовете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членове на Сдружение </w:t>
      </w:r>
      <w:r w:rsidDel="00000000" w:rsidR="00000000" w:rsidRPr="00000000">
        <w:rPr>
          <w:rtl w:val="0"/>
        </w:rPr>
        <w:t xml:space="preserve">“България Тъч”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II. ЧЛЕНСТВО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Чл. 2.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(1)</w:t>
      </w:r>
      <w:r w:rsidDel="00000000" w:rsidR="00000000" w:rsidRPr="00000000">
        <w:rPr>
          <w:vertAlign w:val="baseline"/>
          <w:rtl w:val="0"/>
        </w:rPr>
        <w:t xml:space="preserve"> За да бъде приет за член на </w:t>
      </w:r>
      <w:r w:rsidDel="00000000" w:rsidR="00000000" w:rsidRPr="00000000">
        <w:rPr>
          <w:rtl w:val="0"/>
        </w:rPr>
        <w:t xml:space="preserve">“България Тъч”</w:t>
      </w:r>
      <w:r w:rsidDel="00000000" w:rsidR="00000000" w:rsidRPr="00000000">
        <w:rPr>
          <w:vertAlign w:val="baseline"/>
          <w:rtl w:val="0"/>
        </w:rPr>
        <w:t xml:space="preserve">, клубът е необходимо да представи на УС 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следните документи, заверени копия и информация: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</w:t>
      </w:r>
      <w:r w:rsidDel="00000000" w:rsidR="00000000" w:rsidRPr="00000000">
        <w:rPr>
          <w:vertAlign w:val="baseline"/>
          <w:rtl w:val="0"/>
        </w:rPr>
        <w:t xml:space="preserve">явление за кандидатстване за членство по образец.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Копие на Решение за регистрация съгласно ЗЮЛНЦ.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Копие от Устава на спортния клуб, заверено от лицето, което го представлява.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Протокол, съдържащ решението за присъединяване на организацията с данни за нейното наименование, седалище и адрес, броя на членовете, името на ръководителя и на лицето, което ще го представлява в сдружение “България Тъч”.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План за развитие и осъществяване на дейността на клуба, включително бюджет и информация за източниците за финансиране.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Списък на треньорските и съдийските кадри в клуба с отразена степен на квалификация спрямо международната класификация на FIT (Международна Тъч Федерация) и годините натрупан стаж.  В случаите, когато даден клуб не разполага с квалифицирани треньорски или съдийски кадри, то същия клуб заявява в писмен вид, че ще привлече или обучи следния минимален брой квалифицирани кадри в рамките на една година от своето приемане в “България Тъч”: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един треньор, официално сертифициран от FIT (Международна Тъч Федерация) - (минимум ниво 1 по системата на FIT).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трима съдии, официално сертифицирани от FIT (Международна Тъч Федерация) -  (минимум ниво 1 по системата на FIT).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Копие от финансов документ за платена такса за кандидатстване за членство в “България Тъч”.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Други документи и допълнителна информация, поискани по преценка на УС 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относно въпроси, касаещи спортно-състезателната дейност на клуба.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(2) </w:t>
      </w:r>
      <w:r w:rsidDel="00000000" w:rsidR="00000000" w:rsidRPr="00000000">
        <w:rPr>
          <w:vertAlign w:val="baseline"/>
          <w:rtl w:val="0"/>
        </w:rPr>
        <w:t xml:space="preserve">Освен представените документи по чл.2, ал 1. от настоящата наредба, </w:t>
      </w:r>
      <w:r w:rsidDel="00000000" w:rsidR="00000000" w:rsidRPr="00000000">
        <w:rPr>
          <w:rtl w:val="0"/>
        </w:rPr>
        <w:t xml:space="preserve">спрямо чл. 14. от ЗФВС спортният клуб трябва да отговаря на следните изисквания: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Наименованието му да включва думата “клуб” и думи, които указват извършването на спортна дейност Тъч.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Предметът му на дейност включва физическа активност, спорт или съответен обединяващ принцип по чл. 13, ал. 1 от ЗФВС.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Има сключен договор с треньорски кадри по Тъч, в който са регламентирани правата и задълженията им или декларация, документираща условията за практикуване на треньорска дейност.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Има за членове единствено физически лица, когато клубът е сдружение с нестопанска цел.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е член на друга спортна федерация.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Членовете на управителния му орган не са свързани лица по смисъла на § 1, т. 10 от ДР на ЗФВС.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Членовете на управителния му орган и свързани с тях лица не са членове на управителен орган на друг спортен клуб, който е член на сдружение “България Тъч”.</w:t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Чл. 3. (1)</w:t>
      </w:r>
      <w:r w:rsidDel="00000000" w:rsidR="00000000" w:rsidRPr="00000000">
        <w:rPr>
          <w:vertAlign w:val="baseline"/>
          <w:rtl w:val="0"/>
        </w:rPr>
        <w:t xml:space="preserve"> Всяка година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издава удостоверение на редовните клубове, членове на С</w:t>
      </w:r>
      <w:r w:rsidDel="00000000" w:rsidR="00000000" w:rsidRPr="00000000">
        <w:rPr>
          <w:rtl w:val="0"/>
        </w:rPr>
        <w:t xml:space="preserve">дружението</w:t>
      </w:r>
      <w:r w:rsidDel="00000000" w:rsidR="00000000" w:rsidRPr="00000000">
        <w:rPr>
          <w:vertAlign w:val="baseline"/>
          <w:rtl w:val="0"/>
        </w:rPr>
        <w:t xml:space="preserve">. Удостоверението е валидно само за календарната година и важи до 31.01. на следващата.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(2)</w:t>
      </w:r>
      <w:r w:rsidDel="00000000" w:rsidR="00000000" w:rsidRPr="00000000">
        <w:rPr>
          <w:vertAlign w:val="baseline"/>
          <w:rtl w:val="0"/>
        </w:rPr>
        <w:t xml:space="preserve"> Удостоверението дава право на клубовете да </w:t>
      </w:r>
      <w:r w:rsidDel="00000000" w:rsidR="00000000" w:rsidRPr="00000000">
        <w:rPr>
          <w:rtl w:val="0"/>
        </w:rPr>
        <w:t xml:space="preserve">вземат</w:t>
      </w:r>
      <w:r w:rsidDel="00000000" w:rsidR="00000000" w:rsidRPr="00000000">
        <w:rPr>
          <w:vertAlign w:val="baseline"/>
          <w:rtl w:val="0"/>
        </w:rPr>
        <w:t xml:space="preserve"> участие в спортната дейност на </w:t>
      </w:r>
      <w:r w:rsidDel="00000000" w:rsidR="00000000" w:rsidRPr="00000000">
        <w:rPr>
          <w:rtl w:val="0"/>
        </w:rPr>
        <w:t xml:space="preserve">“България Тъч”, </w:t>
      </w:r>
      <w:r w:rsidDel="00000000" w:rsidR="00000000" w:rsidRPr="00000000">
        <w:rPr>
          <w:vertAlign w:val="baseline"/>
          <w:rtl w:val="0"/>
        </w:rPr>
        <w:t xml:space="preserve">както и да картотекират свои състезатели по предвидения за това ред.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Чл. 4. (1)</w:t>
      </w:r>
      <w:r w:rsidDel="00000000" w:rsidR="00000000" w:rsidRPr="00000000">
        <w:rPr>
          <w:vertAlign w:val="baseline"/>
          <w:rtl w:val="0"/>
        </w:rPr>
        <w:t xml:space="preserve"> За подновяване на членството си в </w:t>
      </w:r>
      <w:r w:rsidDel="00000000" w:rsidR="00000000" w:rsidRPr="00000000">
        <w:rPr>
          <w:rtl w:val="0"/>
        </w:rPr>
        <w:t xml:space="preserve">“България Тъч”</w:t>
      </w:r>
      <w:r w:rsidDel="00000000" w:rsidR="00000000" w:rsidRPr="00000000">
        <w:rPr>
          <w:vertAlign w:val="baseline"/>
          <w:rtl w:val="0"/>
        </w:rPr>
        <w:t xml:space="preserve">, клубовете представят пред УС на </w:t>
      </w:r>
      <w:r w:rsidDel="00000000" w:rsidR="00000000" w:rsidRPr="00000000">
        <w:rPr>
          <w:rtl w:val="0"/>
        </w:rPr>
        <w:t xml:space="preserve">Сдружението </w:t>
      </w:r>
      <w:r w:rsidDel="00000000" w:rsidR="00000000" w:rsidRPr="00000000">
        <w:rPr>
          <w:vertAlign w:val="baseline"/>
          <w:rtl w:val="0"/>
        </w:rPr>
        <w:t xml:space="preserve">в срок до 31.01. на текущата година: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jc w:val="both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Доклад за спортно-състезателната дейност на клуба за предходната година.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Удостоверение за актуално състояние на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vertAlign w:val="baseline"/>
          <w:rtl w:val="0"/>
        </w:rPr>
        <w:t xml:space="preserve">луба, издадено с актуална дата от месец </w:t>
      </w:r>
      <w:r w:rsidDel="00000000" w:rsidR="00000000" w:rsidRPr="00000000">
        <w:rPr>
          <w:rtl w:val="0"/>
        </w:rPr>
        <w:t xml:space="preserve">я</w:t>
      </w:r>
      <w:r w:rsidDel="00000000" w:rsidR="00000000" w:rsidRPr="00000000">
        <w:rPr>
          <w:vertAlign w:val="baseline"/>
          <w:rtl w:val="0"/>
        </w:rPr>
        <w:t xml:space="preserve">нуари на текущата година.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(2) </w:t>
      </w:r>
      <w:r w:rsidDel="00000000" w:rsidR="00000000" w:rsidRPr="00000000">
        <w:rPr>
          <w:vertAlign w:val="baseline"/>
          <w:rtl w:val="0"/>
        </w:rPr>
        <w:t xml:space="preserve">Заплаща годишният си членски внос не по късно от 31.01.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Чл. 5.</w:t>
      </w:r>
      <w:r w:rsidDel="00000000" w:rsidR="00000000" w:rsidRPr="00000000">
        <w:rPr>
          <w:vertAlign w:val="baseline"/>
          <w:rtl w:val="0"/>
        </w:rPr>
        <w:t xml:space="preserve"> Заявленията на кандидатстващите за членство клубове се разглеждат </w:t>
      </w: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vertAlign w:val="baseline"/>
          <w:rtl w:val="0"/>
        </w:rPr>
        <w:t xml:space="preserve">УС 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в тримесечен срок от подаване на заявлението по чл. 2. При констатирани непълноти и/или несъответствия в представените документи и информация, срокът тече от момента на отстраняването им.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Чл.6. (1) </w:t>
      </w:r>
      <w:r w:rsidDel="00000000" w:rsidR="00000000" w:rsidRPr="00000000">
        <w:rPr>
          <w:vertAlign w:val="baseline"/>
          <w:rtl w:val="0"/>
        </w:rPr>
        <w:t xml:space="preserve">Клубовете кандидатстващи за членство в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заплащат еднократно встъпителна такса в размер на един годишен членски внос, определен от ОС на </w:t>
      </w:r>
      <w:r w:rsidDel="00000000" w:rsidR="00000000" w:rsidRPr="00000000">
        <w:rPr>
          <w:rtl w:val="0"/>
        </w:rPr>
        <w:t xml:space="preserve">“България Тъч”</w:t>
      </w:r>
      <w:r w:rsidDel="00000000" w:rsidR="00000000" w:rsidRPr="00000000">
        <w:rPr>
          <w:vertAlign w:val="baseline"/>
          <w:rtl w:val="0"/>
        </w:rPr>
        <w:t xml:space="preserve">. След приемането им платената такса се признава за членски внос за текущата година. </w:t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(2)</w:t>
      </w:r>
      <w:r w:rsidDel="00000000" w:rsidR="00000000" w:rsidRPr="00000000">
        <w:rPr>
          <w:vertAlign w:val="baseline"/>
          <w:rtl w:val="0"/>
        </w:rPr>
        <w:t xml:space="preserve"> В случай на отказ за приемане, платената такса остава в полза на </w:t>
      </w:r>
      <w:r w:rsidDel="00000000" w:rsidR="00000000" w:rsidRPr="00000000">
        <w:rPr>
          <w:rtl w:val="0"/>
        </w:rPr>
        <w:t xml:space="preserve">Сдружението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(3) </w:t>
      </w:r>
      <w:r w:rsidDel="00000000" w:rsidR="00000000" w:rsidRPr="00000000">
        <w:rPr>
          <w:vertAlign w:val="baseline"/>
          <w:rtl w:val="0"/>
        </w:rPr>
        <w:t xml:space="preserve">УС 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може да отнесе въпроса за разглеждане и вземане на решение по заявлението за членство на клуба пред ОС на </w:t>
      </w:r>
      <w:r w:rsidDel="00000000" w:rsidR="00000000" w:rsidRPr="00000000">
        <w:rPr>
          <w:rtl w:val="0"/>
        </w:rPr>
        <w:t xml:space="preserve">Сдружението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Чл. 7. </w:t>
      </w:r>
      <w:r w:rsidDel="00000000" w:rsidR="00000000" w:rsidRPr="00000000">
        <w:rPr>
          <w:vertAlign w:val="baseline"/>
          <w:rtl w:val="0"/>
        </w:rPr>
        <w:t xml:space="preserve">Клубовете, неспазили сроковете и изискванията по чл. 4 се санкционират с двоен размер на годишния членски внос, определен от ОС на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България Тъч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vertAlign w:val="baseline"/>
          <w:rtl w:val="0"/>
        </w:rPr>
        <w:t xml:space="preserve">. Санкцията се заплаща не по-късно от датата на годишното отчетно ОС за текущата година.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III.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ЗАКЛЮЧИТЕЛНИ РАЗПОРЕДБИ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§1. </w:t>
      </w:r>
      <w:r w:rsidDel="00000000" w:rsidR="00000000" w:rsidRPr="00000000">
        <w:rPr>
          <w:vertAlign w:val="baseline"/>
          <w:rtl w:val="0"/>
        </w:rPr>
        <w:t xml:space="preserve">Настоящата Наредба е приета с протокол от заседание на УС на </w:t>
      </w:r>
      <w:r w:rsidDel="00000000" w:rsidR="00000000" w:rsidRPr="00000000">
        <w:rPr>
          <w:rtl w:val="0"/>
        </w:rPr>
        <w:t xml:space="preserve">“България Тъч” </w:t>
      </w:r>
      <w:r w:rsidDel="00000000" w:rsidR="00000000" w:rsidRPr="00000000">
        <w:rPr>
          <w:vertAlign w:val="baseline"/>
          <w:rtl w:val="0"/>
        </w:rPr>
        <w:t xml:space="preserve">от 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.01.20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§2. </w:t>
      </w:r>
      <w:r w:rsidDel="00000000" w:rsidR="00000000" w:rsidRPr="00000000">
        <w:rPr>
          <w:vertAlign w:val="baseline"/>
          <w:rtl w:val="0"/>
        </w:rPr>
        <w:t xml:space="preserve">Настоящата </w:t>
      </w:r>
      <w:r w:rsidDel="00000000" w:rsidR="00000000" w:rsidRPr="00000000">
        <w:rPr>
          <w:rtl w:val="0"/>
        </w:rPr>
        <w:t xml:space="preserve">Н</w:t>
      </w:r>
      <w:r w:rsidDel="00000000" w:rsidR="00000000" w:rsidRPr="00000000">
        <w:rPr>
          <w:vertAlign w:val="baseline"/>
          <w:rtl w:val="0"/>
        </w:rPr>
        <w:t xml:space="preserve">аредба влиза в сила от датата на приемането </w:t>
      </w:r>
      <w:r w:rsidDel="00000000" w:rsidR="00000000" w:rsidRPr="00000000">
        <w:rPr>
          <w:rtl w:val="0"/>
        </w:rPr>
        <w:t xml:space="preserve">ѝ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§3. </w:t>
      </w:r>
      <w:r w:rsidDel="00000000" w:rsidR="00000000" w:rsidRPr="00000000">
        <w:rPr>
          <w:vertAlign w:val="baseline"/>
          <w:rtl w:val="0"/>
        </w:rPr>
        <w:t xml:space="preserve">Настоящата Наредба отменя всички съществуващи до тази дата други </w:t>
      </w:r>
      <w:r w:rsidDel="00000000" w:rsidR="00000000" w:rsidRPr="00000000">
        <w:rPr>
          <w:rtl w:val="0"/>
        </w:rPr>
        <w:t xml:space="preserve">правилници и наредби за членство на клубове в Сдружение “България Тъч”.</w:t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ЕИК: 205640061;  гр. София, ул. Димитър Хаджикоцев 35, вх. Б, ет. 6, ап. 17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hyperlink r:id="rId1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contact@bulgariatouch.org</w:t>
      </w:r>
    </w:hyperlink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www.bulgariatouch.org</w:t>
      </w:r>
    </w:hyperlink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  </w:t>
    </w:r>
    <w:hyperlink r:id="rId3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www.facebook.com/bulgariatouch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jc w:val="center"/>
      <w:rPr>
        <w:rFonts w:ascii="Cambria" w:cs="Cambria" w:eastAsia="Cambria" w:hAnsi="Cambria"/>
        <w:b w:val="1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20"/>
        <w:szCs w:val="20"/>
        <w:rtl w:val="0"/>
      </w:rPr>
      <w:t xml:space="preserve">СДРУЖЕНИЕ „БЪЛГАРИЯ ТЪЧ“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-476248</wp:posOffset>
          </wp:positionH>
          <wp:positionV relativeFrom="paragraph">
            <wp:posOffset>-342897</wp:posOffset>
          </wp:positionV>
          <wp:extent cx="869950" cy="965200"/>
          <wp:effectExtent b="0" l="0" r="0" t="0"/>
          <wp:wrapNone/>
          <wp:docPr descr="C:\Users\IVO mobile\AppData\Local\Microsoft\Windows\INetCache\Content.Word\logo_color.png" id="8" name="image1.png"/>
          <a:graphic>
            <a:graphicData uri="http://schemas.openxmlformats.org/drawingml/2006/picture">
              <pic:pic>
                <pic:nvPicPr>
                  <pic:cNvPr descr="C:\Users\IVO mobile\AppData\Local\Microsoft\Windows\INetCache\Content.Word\logo_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995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4F69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A0990"/>
  </w:style>
  <w:style w:type="paragraph" w:styleId="Footer">
    <w:name w:val="footer"/>
    <w:basedOn w:val="Normal"/>
    <w:link w:val="Foot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A099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09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099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A09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A099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efault" w:customStyle="1">
    <w:name w:val="Default"/>
    <w:rsid w:val="00E52D0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bg-BG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bulgariatouch.org" TargetMode="External"/><Relationship Id="rId2" Type="http://schemas.openxmlformats.org/officeDocument/2006/relationships/hyperlink" Target="http://www.bulgariatouch.org" TargetMode="External"/><Relationship Id="rId3" Type="http://schemas.openxmlformats.org/officeDocument/2006/relationships/hyperlink" Target="http://www.facebook.com/bulgariatou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o2/70DwLQKvdmOb99GXoCKIiw==">AMUW2mWOcZn4tlVAsG1zje0fcsqys9hsxTEgK7Q/1fhznDh0dReCSWxK7I62ERvB+30Z8Pz4H6PvWCY72k1m910mLZ0A/o77XZtoogpTMmb7d4UTRd5OFcJDXGjc8qNIuUY/dFzmptvvU6BwyVIYoBtiaFLf8AxWZw==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IVO mobile</dc:creator>
</cp:coreProperties>
</file>